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69" w:rsidRPr="001B4269" w:rsidRDefault="001B4269" w:rsidP="001B4269">
      <w:pPr>
        <w:rPr>
          <w:b/>
          <w:noProof w:val="0"/>
          <w:sz w:val="22"/>
          <w:szCs w:val="22"/>
          <w:lang w:val="it-IT" w:eastAsia="ar-SA"/>
        </w:rPr>
      </w:pPr>
      <w:r w:rsidRPr="001B4269">
        <w:rPr>
          <w:b/>
          <w:sz w:val="22"/>
          <w:szCs w:val="22"/>
          <w:lang w:val="it-IT"/>
        </w:rPr>
        <w:t>Avviso di candidatura per attività di “</w:t>
      </w:r>
      <w:bookmarkStart w:id="0" w:name="_Hlk18327360"/>
      <w:r w:rsidRPr="001B4269">
        <w:rPr>
          <w:b/>
          <w:sz w:val="22"/>
          <w:szCs w:val="22"/>
          <w:lang w:val="it-IT"/>
        </w:rPr>
        <w:t>CRESCERE GIOCANDO</w:t>
      </w:r>
      <w:bookmarkEnd w:id="0"/>
      <w:r w:rsidRPr="001B4269">
        <w:rPr>
          <w:b/>
          <w:sz w:val="22"/>
          <w:szCs w:val="22"/>
          <w:lang w:val="it-IT"/>
        </w:rPr>
        <w:t xml:space="preserve">” presso scuola infanzia BIMBILANDIA di Pineta di Laives - 3° Circolo didattico di scuola dell’infanzia 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1B4269" w:rsidRPr="001B4269">
        <w:rPr>
          <w:b/>
          <w:sz w:val="22"/>
          <w:szCs w:val="22"/>
          <w:lang w:val="de-DE"/>
        </w:rPr>
        <w:t xml:space="preserve"> CRESCERE GIOCANDO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1B4269">
        <w:rPr>
          <w:b/>
          <w:sz w:val="22"/>
          <w:szCs w:val="22"/>
          <w:lang w:val="de-DE"/>
        </w:rPr>
        <w:t>Bimbilandia</w:t>
      </w:r>
      <w:r w:rsidR="00961A6A">
        <w:rPr>
          <w:b/>
          <w:sz w:val="22"/>
          <w:szCs w:val="22"/>
          <w:lang w:val="de-DE"/>
        </w:rPr>
        <w:t xml:space="preserve">“ </w:t>
      </w:r>
      <w:r w:rsidR="001B4269">
        <w:rPr>
          <w:b/>
          <w:sz w:val="22"/>
          <w:szCs w:val="22"/>
          <w:lang w:val="de-DE"/>
        </w:rPr>
        <w:t>Steinmannwald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B3019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3D3A9A">
        <w:rPr>
          <w:lang w:val="it-IT"/>
        </w:rPr>
        <w:t xml:space="preserve">di </w:t>
      </w:r>
      <w:r w:rsidR="001B4269">
        <w:rPr>
          <w:lang w:val="it-IT"/>
        </w:rPr>
        <w:t>psicomotricità</w:t>
      </w:r>
      <w:r w:rsidR="008F0336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1B4269">
        <w:rPr>
          <w:lang w:val="it-IT"/>
        </w:rPr>
        <w:t>Bimbilandia di Pineta di Laives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DA7A9B">
        <w:rPr>
          <w:b/>
          <w:lang w:val="it-IT"/>
        </w:rPr>
        <w:t>CRESCERE GIOCANDO</w:t>
      </w:r>
      <w:bookmarkStart w:id="1" w:name="_GoBack"/>
      <w:bookmarkEnd w:id="1"/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Destinatari:</w:t>
      </w:r>
      <w:r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 xml:space="preserve">gruppo di </w:t>
      </w:r>
      <w:r w:rsidR="001B4269">
        <w:rPr>
          <w:rFonts w:cs="Arial"/>
          <w:b/>
          <w:noProof w:val="0"/>
          <w:lang w:val="it-IT" w:eastAsia="ar-SA"/>
        </w:rPr>
        <w:t>2</w:t>
      </w:r>
      <w:r w:rsidR="00AF58E0" w:rsidRPr="00AF58E0">
        <w:rPr>
          <w:rFonts w:cs="Arial"/>
          <w:b/>
          <w:noProof w:val="0"/>
          <w:lang w:val="it-IT" w:eastAsia="ar-SA"/>
        </w:rPr>
        <w:t>2</w:t>
      </w:r>
      <w:r w:rsidR="00AF58E0" w:rsidRPr="00AF58E0">
        <w:rPr>
          <w:rFonts w:cs="Arial"/>
          <w:noProof w:val="0"/>
          <w:lang w:val="it-IT" w:eastAsia="ar-SA"/>
        </w:rPr>
        <w:t xml:space="preserve"> bambini</w:t>
      </w:r>
      <w:r w:rsidR="001B4269">
        <w:rPr>
          <w:rFonts w:cs="Arial"/>
          <w:noProof w:val="0"/>
          <w:lang w:val="it-IT" w:eastAsia="ar-SA"/>
        </w:rPr>
        <w:t xml:space="preserve"> circa</w:t>
      </w:r>
    </w:p>
    <w:p w:rsidR="001B4269" w:rsidRPr="001B4269" w:rsidRDefault="001B4269" w:rsidP="001B4269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1B4269">
        <w:rPr>
          <w:rFonts w:cs="Arial"/>
          <w:b/>
          <w:bCs/>
          <w:noProof w:val="0"/>
          <w:lang w:val="it-IT" w:eastAsia="ar-SA"/>
        </w:rPr>
        <w:t xml:space="preserve">Obiettivi: 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Migliorare la motricità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Favorire l’armonioso sviluppo psicofisico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Riconoscere la propria identità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Rafforzare l’autostima e la consapevolezza di sé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Sviluppare il pensiero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Esprimere le risorse personali, sperimentando una situazione di benessere</w:t>
      </w:r>
    </w:p>
    <w:p w:rsidR="001B4269" w:rsidRPr="001B4269" w:rsidRDefault="001B4269" w:rsidP="001B4269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color w:val="FF000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>Creare coesione e inclusione</w:t>
      </w:r>
    </w:p>
    <w:p w:rsidR="001B4269" w:rsidRPr="001B4269" w:rsidRDefault="001B4269" w:rsidP="001B4269">
      <w:pPr>
        <w:jc w:val="both"/>
        <w:rPr>
          <w:rFonts w:cs="Arial"/>
          <w:lang w:val="it-IT"/>
        </w:rPr>
      </w:pPr>
    </w:p>
    <w:p w:rsidR="001B4269" w:rsidRPr="001B4269" w:rsidRDefault="001B4269" w:rsidP="001B4269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1B4269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1B4269" w:rsidRPr="001B4269" w:rsidRDefault="001B4269" w:rsidP="001B4269">
      <w:pPr>
        <w:spacing w:before="100"/>
        <w:jc w:val="both"/>
        <w:rPr>
          <w:lang w:val="it-IT"/>
        </w:rPr>
      </w:pPr>
      <w:r w:rsidRPr="001B4269">
        <w:rPr>
          <w:lang w:val="it-IT"/>
        </w:rPr>
        <w:t>Le attività proposte saranno a sostegno dello sviluppo e del potenziamento di competenze nell’ambito della corporeità, dell’affettività, della creatività, del pensiero logico-matematico, della comunicazione verbale e non.</w:t>
      </w:r>
    </w:p>
    <w:p w:rsidR="001B4269" w:rsidRPr="001B4269" w:rsidRDefault="001B4269" w:rsidP="001B4269">
      <w:pPr>
        <w:spacing w:before="100"/>
        <w:jc w:val="both"/>
        <w:rPr>
          <w:rFonts w:cs="Arial"/>
          <w:lang w:val="it-IT"/>
        </w:rPr>
      </w:pPr>
    </w:p>
    <w:p w:rsidR="00AF58E0" w:rsidRPr="00AF58E0" w:rsidRDefault="00AF58E0" w:rsidP="00AF58E0">
      <w:pPr>
        <w:suppressAutoHyphens/>
        <w:jc w:val="both"/>
        <w:rPr>
          <w:rFonts w:cs="Arial"/>
          <w:noProof w:val="0"/>
          <w:lang w:val="it-IT" w:eastAsia="ar-SA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1B4269" w:rsidRPr="001B4269" w:rsidRDefault="001B4269" w:rsidP="001B4269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1B4269">
        <w:rPr>
          <w:rFonts w:cs="Arial"/>
          <w:b/>
          <w:bCs/>
          <w:noProof w:val="0"/>
          <w:lang w:val="it-IT" w:eastAsia="ar-SA"/>
        </w:rPr>
        <w:t>Metodologia:</w:t>
      </w:r>
    </w:p>
    <w:p w:rsidR="001B4269" w:rsidRPr="001B4269" w:rsidRDefault="001B4269" w:rsidP="001B4269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1B4269">
        <w:rPr>
          <w:rFonts w:cs="Arial"/>
          <w:bCs/>
          <w:noProof w:val="0"/>
          <w:lang w:val="it-IT" w:eastAsia="ar-SA"/>
        </w:rPr>
        <w:t xml:space="preserve">Intervento educativo-didattico proposto attraverso il gioco, le emozioni e la libera espressione del proprio corpo. Ricerca – azione, alternanza tra libertà espressiva e direzione: dal piacere di agire al piacere di pensare (Bernard </w:t>
      </w:r>
      <w:proofErr w:type="spellStart"/>
      <w:r w:rsidRPr="001B4269">
        <w:rPr>
          <w:rFonts w:cs="Arial"/>
          <w:bCs/>
          <w:noProof w:val="0"/>
          <w:lang w:val="it-IT" w:eastAsia="ar-SA"/>
        </w:rPr>
        <w:t>Aucouturier</w:t>
      </w:r>
      <w:proofErr w:type="spellEnd"/>
      <w:r w:rsidRPr="001B4269">
        <w:rPr>
          <w:rFonts w:cs="Arial"/>
          <w:bCs/>
          <w:noProof w:val="0"/>
          <w:lang w:val="it-IT" w:eastAsia="ar-SA"/>
        </w:rPr>
        <w:t>), dall’azione sul mondo esterno al pensare l’azione.</w:t>
      </w:r>
    </w:p>
    <w:p w:rsidR="001B4269" w:rsidRDefault="001B4269" w:rsidP="00AF58E0">
      <w:pPr>
        <w:suppressAutoHyphens/>
        <w:spacing w:before="100"/>
        <w:rPr>
          <w:rFonts w:cs="Arial"/>
          <w:b/>
          <w:bCs/>
          <w:lang w:val="it-IT"/>
        </w:rPr>
      </w:pP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  <w:r w:rsidRPr="001B4269">
        <w:rPr>
          <w:rFonts w:cs="Arial"/>
          <w:b/>
          <w:bCs/>
          <w:noProof w:val="0"/>
          <w:lang w:val="it-IT" w:eastAsia="ar-SA"/>
        </w:rPr>
        <w:t>Monte ore</w:t>
      </w:r>
      <w:r w:rsidRPr="001B4269">
        <w:rPr>
          <w:rFonts w:cs="Arial"/>
          <w:noProof w:val="0"/>
          <w:lang w:val="it-IT" w:eastAsia="ar-SA"/>
        </w:rPr>
        <w:t xml:space="preserve">: 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  <w:r w:rsidRPr="001B4269">
        <w:rPr>
          <w:rFonts w:cs="Arial"/>
          <w:noProof w:val="0"/>
          <w:lang w:val="it-IT" w:eastAsia="ar-SA"/>
        </w:rPr>
        <w:t>24 incontri da 1 ora ciascuno.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  <w:r w:rsidRPr="001B4269">
        <w:rPr>
          <w:rFonts w:cs="Arial"/>
          <w:noProof w:val="0"/>
          <w:lang w:val="it-IT" w:eastAsia="ar-SA"/>
        </w:rPr>
        <w:t>Sono previste inoltre 2 ore di progettazione, coordinamento e verifica con il personale educativo della scuola.</w:t>
      </w:r>
    </w:p>
    <w:p w:rsidR="00354F24" w:rsidRPr="008F0336" w:rsidRDefault="00354F24" w:rsidP="003D62FD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  <w:r w:rsidRPr="001B4269">
        <w:rPr>
          <w:rFonts w:cs="Arial"/>
          <w:b/>
          <w:bCs/>
          <w:noProof w:val="0"/>
          <w:lang w:val="it-IT" w:eastAsia="ar-SA"/>
        </w:rPr>
        <w:t>Periodo di svolgimento:</w:t>
      </w:r>
      <w:r w:rsidRPr="001B4269">
        <w:rPr>
          <w:rFonts w:cs="Arial"/>
          <w:noProof w:val="0"/>
          <w:lang w:val="it-IT" w:eastAsia="ar-SA"/>
        </w:rPr>
        <w:t xml:space="preserve"> </w:t>
      </w:r>
    </w:p>
    <w:p w:rsid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  <w:r w:rsidRPr="001B4269">
        <w:rPr>
          <w:rFonts w:cs="Arial"/>
          <w:noProof w:val="0"/>
          <w:lang w:val="it-IT" w:eastAsia="ar-SA"/>
        </w:rPr>
        <w:t>da gennaio 2020 a maggio 2020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AF58E0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proofErr w:type="spellStart"/>
      <w:r w:rsidR="001B4269">
        <w:rPr>
          <w:rFonts w:cs="Arial"/>
          <w:noProof w:val="0"/>
          <w:lang w:val="it-IT" w:eastAsia="ar-SA"/>
        </w:rPr>
        <w:t>Bimbilandia</w:t>
      </w:r>
      <w:proofErr w:type="spellEnd"/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1B4269">
        <w:rPr>
          <w:rFonts w:cs="Arial"/>
          <w:noProof w:val="0"/>
          <w:lang w:val="it-IT" w:eastAsia="ar-SA"/>
        </w:rPr>
        <w:t>–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1B4269">
        <w:rPr>
          <w:rFonts w:cs="Arial"/>
          <w:noProof w:val="0"/>
          <w:lang w:val="it-IT" w:eastAsia="ar-SA"/>
        </w:rPr>
        <w:t>Pineta di Laives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3D62FD">
        <w:rPr>
          <w:rFonts w:ascii="Arial" w:hAnsi="Arial" w:cs="Arial"/>
          <w:bCs/>
          <w:sz w:val="20"/>
          <w:szCs w:val="20"/>
          <w:lang w:val="it-IT"/>
        </w:rPr>
        <w:t>31 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BB337C">
        <w:rPr>
          <w:rFonts w:cs="Arial"/>
          <w:b/>
          <w:lang w:val="it-IT"/>
        </w:rPr>
        <w:t>13</w:t>
      </w:r>
      <w:r w:rsidR="003D62FD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DA7A9B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DA7A9B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DA7A9B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DA7A9B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DA7A9B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DA7A9B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DA7A9B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B3019"/>
    <w:rsid w:val="001B4269"/>
    <w:rsid w:val="001D6781"/>
    <w:rsid w:val="001F02DF"/>
    <w:rsid w:val="00262953"/>
    <w:rsid w:val="00273D55"/>
    <w:rsid w:val="003510EE"/>
    <w:rsid w:val="00351BD7"/>
    <w:rsid w:val="00353687"/>
    <w:rsid w:val="00354F24"/>
    <w:rsid w:val="003D3A9A"/>
    <w:rsid w:val="003D62F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B337C"/>
    <w:rsid w:val="00BC6B62"/>
    <w:rsid w:val="00C23AD3"/>
    <w:rsid w:val="00CE1A93"/>
    <w:rsid w:val="00D44E6C"/>
    <w:rsid w:val="00D509A5"/>
    <w:rsid w:val="00D60CB3"/>
    <w:rsid w:val="00DA7A9B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B612B8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875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4</cp:revision>
  <cp:lastPrinted>2019-08-06T11:29:00Z</cp:lastPrinted>
  <dcterms:created xsi:type="dcterms:W3CDTF">2019-09-02T12:34:00Z</dcterms:created>
  <dcterms:modified xsi:type="dcterms:W3CDTF">2019-09-02T14:30:00Z</dcterms:modified>
</cp:coreProperties>
</file>