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855F62"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9B4289">
              <w:rPr>
                <w:b/>
                <w:sz w:val="18"/>
                <w:szCs w:val="18"/>
                <w:lang w:val="it-IT"/>
              </w:rPr>
            </w:r>
            <w:r w:rsidR="009B4289">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855F62">
              <w:rPr>
                <w:b/>
                <w:sz w:val="18"/>
                <w:szCs w:val="18"/>
                <w:lang w:val="de-DE"/>
              </w:rPr>
              <w:t>8</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855F62" w:rsidRPr="00855F62">
              <w:rPr>
                <w:b/>
                <w:bCs/>
                <w:sz w:val="18"/>
                <w:szCs w:val="18"/>
                <w:lang w:val="it-IT"/>
              </w:rPr>
              <w:t>86215876A9</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9B4289">
        <w:rPr>
          <w:sz w:val="18"/>
          <w:szCs w:val="18"/>
          <w:lang w:val="de-DE" w:eastAsia="de-DE"/>
        </w:rPr>
      </w:r>
      <w:r w:rsidR="009B428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9B4289">
        <w:rPr>
          <w:sz w:val="18"/>
          <w:szCs w:val="18"/>
          <w:lang w:val="de-DE" w:eastAsia="de-DE"/>
        </w:rPr>
      </w:r>
      <w:r w:rsidR="009B428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9B4289">
        <w:rPr>
          <w:sz w:val="18"/>
          <w:szCs w:val="18"/>
          <w:lang w:val="it-IT"/>
        </w:rPr>
      </w:r>
      <w:r w:rsidR="009B4289">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9B4289">
        <w:rPr>
          <w:b/>
          <w:bCs/>
          <w:sz w:val="18"/>
          <w:szCs w:val="18"/>
          <w:lang w:val="de-DE" w:eastAsia="de-DE"/>
        </w:rPr>
      </w:r>
      <w:r w:rsidR="009B4289">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9B4289">
        <w:rPr>
          <w:b/>
          <w:bCs/>
          <w:sz w:val="18"/>
          <w:szCs w:val="18"/>
          <w:lang w:val="de-DE" w:eastAsia="de-DE"/>
        </w:rPr>
      </w:r>
      <w:r w:rsidR="009B4289">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9B4289">
        <w:rPr>
          <w:sz w:val="18"/>
          <w:szCs w:val="18"/>
          <w:lang w:val="de-DE" w:eastAsia="de-DE"/>
        </w:rPr>
      </w:r>
      <w:r w:rsidR="009B4289">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9B4289">
        <w:rPr>
          <w:sz w:val="18"/>
          <w:szCs w:val="18"/>
          <w:lang w:val="de-DE" w:eastAsia="de-DE"/>
        </w:rPr>
      </w:r>
      <w:r w:rsidR="009B4289">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9B4289">
        <w:rPr>
          <w:sz w:val="18"/>
          <w:szCs w:val="18"/>
          <w:lang w:val="de-DE"/>
        </w:rPr>
      </w:r>
      <w:r w:rsidR="009B4289">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855F62"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9B4289" w:rsidRPr="009B4289">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855F62"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855F62"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9B4289"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9B4289"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855F62">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855F62"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855F62"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5F62"/>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B4289"/>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2918</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2021-02-25T10:22:00Z</dcterms:modified>
</cp:coreProperties>
</file>